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CC" w:rsidRPr="00C53E1D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C53E1D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479F8F6" wp14:editId="0650F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2307D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53E1D">
        <w:rPr>
          <w:rFonts w:ascii="Times New Roman" w:hAnsi="Times New Roman"/>
          <w:b/>
          <w:sz w:val="24"/>
          <w:szCs w:val="24"/>
        </w:rPr>
        <w:t>3GPP TSG-RAN</w:t>
      </w:r>
      <w:r w:rsidRPr="00C53E1D">
        <w:rPr>
          <w:rFonts w:ascii="Times New Roman" w:hAnsi="Times New Roman"/>
          <w:sz w:val="24"/>
          <w:szCs w:val="24"/>
        </w:rPr>
        <w:t xml:space="preserve"> </w:t>
      </w:r>
      <w:r w:rsidRPr="00C53E1D">
        <w:rPr>
          <w:rFonts w:ascii="Times New Roman" w:hAnsi="Times New Roman"/>
          <w:b/>
          <w:sz w:val="24"/>
          <w:szCs w:val="24"/>
        </w:rPr>
        <w:t xml:space="preserve">WG1 Meeting#106-e                                      </w:t>
      </w:r>
      <w:r w:rsidR="002233AF">
        <w:rPr>
          <w:rFonts w:ascii="Times New Roman" w:hAnsi="Times New Roman"/>
          <w:b/>
          <w:sz w:val="24"/>
          <w:szCs w:val="24"/>
        </w:rPr>
        <w:t xml:space="preserve">          </w:t>
      </w:r>
      <w:r w:rsidRPr="00C53E1D">
        <w:rPr>
          <w:rFonts w:ascii="Times New Roman" w:hAnsi="Times New Roman"/>
          <w:b/>
          <w:sz w:val="24"/>
          <w:szCs w:val="24"/>
        </w:rPr>
        <w:t xml:space="preserve"> </w:t>
      </w:r>
      <w:r w:rsidRPr="003172DA">
        <w:rPr>
          <w:rFonts w:ascii="Times New Roman" w:hAnsi="Times New Roman"/>
          <w:b/>
          <w:sz w:val="24"/>
          <w:szCs w:val="24"/>
          <w:lang w:val="en-US"/>
        </w:rPr>
        <w:t>R1-210</w:t>
      </w:r>
      <w:r w:rsidR="003172DA" w:rsidRPr="003172DA">
        <w:rPr>
          <w:rFonts w:ascii="Times New Roman" w:hAnsi="Times New Roman"/>
          <w:b/>
          <w:sz w:val="24"/>
          <w:szCs w:val="24"/>
          <w:lang w:val="en-US" w:eastAsia="ko-KR"/>
        </w:rPr>
        <w:t>6852</w:t>
      </w:r>
    </w:p>
    <w:p w:rsidR="001462CC" w:rsidRPr="00C53E1D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C53E1D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="00305394" w:rsidRPr="00C53E1D">
        <w:rPr>
          <w:rFonts w:ascii="Times New Roman" w:hAnsi="Times New Roman"/>
          <w:b/>
          <w:sz w:val="24"/>
          <w:szCs w:val="24"/>
        </w:rPr>
        <w:t>August 16</w:t>
      </w:r>
      <w:r w:rsidR="00305394" w:rsidRPr="00C53E1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305394" w:rsidRPr="00C53E1D">
        <w:rPr>
          <w:rFonts w:ascii="Times New Roman" w:hAnsi="Times New Roman"/>
          <w:b/>
          <w:sz w:val="24"/>
          <w:szCs w:val="24"/>
        </w:rPr>
        <w:t xml:space="preserve"> – 27</w:t>
      </w:r>
      <w:r w:rsidR="00305394" w:rsidRPr="00C53E1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C53E1D">
        <w:rPr>
          <w:rFonts w:ascii="Times New Roman" w:hAnsi="Times New Roman"/>
          <w:b/>
          <w:sz w:val="24"/>
          <w:szCs w:val="24"/>
          <w:lang w:eastAsia="zh-CN"/>
        </w:rPr>
        <w:t>, 2021</w:t>
      </w:r>
    </w:p>
    <w:p w:rsidR="001462CC" w:rsidRPr="00C53E1D" w:rsidRDefault="001462CC" w:rsidP="001462CC">
      <w:pPr>
        <w:rPr>
          <w:sz w:val="20"/>
          <w:szCs w:val="20"/>
          <w:lang w:eastAsia="zh-CN"/>
        </w:rPr>
      </w:pPr>
    </w:p>
    <w:p w:rsidR="001462CC" w:rsidRPr="00C53E1D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Title:</w:t>
      </w:r>
      <w:r w:rsidRPr="00C53E1D">
        <w:rPr>
          <w:b/>
          <w:sz w:val="20"/>
          <w:szCs w:val="20"/>
        </w:rPr>
        <w:tab/>
      </w:r>
      <w:r w:rsidR="00F06915" w:rsidRPr="00C53E1D">
        <w:rPr>
          <w:b/>
          <w:sz w:val="20"/>
          <w:szCs w:val="20"/>
        </w:rPr>
        <w:t xml:space="preserve">[Draft] </w:t>
      </w:r>
      <w:r w:rsidRPr="00C53E1D">
        <w:rPr>
          <w:sz w:val="20"/>
          <w:szCs w:val="20"/>
        </w:rPr>
        <w:t xml:space="preserve">LS Reply </w:t>
      </w:r>
      <w:r w:rsidR="002233AF">
        <w:rPr>
          <w:sz w:val="20"/>
          <w:szCs w:val="20"/>
        </w:rPr>
        <w:t xml:space="preserve">to RAN2 </w:t>
      </w:r>
      <w:r w:rsidRPr="00C53E1D">
        <w:rPr>
          <w:sz w:val="20"/>
          <w:szCs w:val="20"/>
        </w:rPr>
        <w:t xml:space="preserve">on </w:t>
      </w:r>
      <w:r w:rsidRPr="00C53E1D">
        <w:rPr>
          <w:bCs/>
          <w:sz w:val="20"/>
          <w:szCs w:val="20"/>
          <w:lang w:val="en-GB"/>
        </w:rPr>
        <w:t>TCI State Update for L1/L2-Centric Inter-Cell Mobility</w:t>
      </w:r>
    </w:p>
    <w:p w:rsidR="001462CC" w:rsidRPr="00C53E1D" w:rsidRDefault="001462CC" w:rsidP="001462CC">
      <w:pPr>
        <w:spacing w:after="60"/>
        <w:ind w:left="1985" w:hanging="1985"/>
        <w:rPr>
          <w:bCs/>
          <w:sz w:val="20"/>
          <w:szCs w:val="20"/>
        </w:rPr>
      </w:pPr>
      <w:r w:rsidRPr="00C53E1D">
        <w:rPr>
          <w:b/>
          <w:sz w:val="20"/>
          <w:szCs w:val="20"/>
        </w:rPr>
        <w:t>Response to:</w:t>
      </w:r>
      <w:r w:rsidRPr="00C53E1D">
        <w:rPr>
          <w:bCs/>
          <w:sz w:val="20"/>
          <w:szCs w:val="20"/>
        </w:rPr>
        <w:tab/>
      </w:r>
      <w:r w:rsidRPr="00BF5C15">
        <w:rPr>
          <w:sz w:val="20"/>
          <w:szCs w:val="20"/>
        </w:rPr>
        <w:t>R1-210</w:t>
      </w:r>
      <w:r w:rsidR="00BF5C15" w:rsidRPr="00BF5C15">
        <w:rPr>
          <w:sz w:val="20"/>
          <w:szCs w:val="20"/>
        </w:rPr>
        <w:t>6414</w:t>
      </w:r>
      <w:r w:rsidRPr="00C53E1D">
        <w:rPr>
          <w:sz w:val="20"/>
          <w:szCs w:val="20"/>
        </w:rPr>
        <w:t>/R2-2106787</w:t>
      </w:r>
    </w:p>
    <w:p w:rsidR="001462CC" w:rsidRPr="00C53E1D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Release:</w:t>
      </w:r>
      <w:r w:rsidRPr="00C53E1D">
        <w:rPr>
          <w:bCs/>
          <w:sz w:val="20"/>
          <w:szCs w:val="20"/>
        </w:rPr>
        <w:tab/>
        <w:t>Rel-17</w:t>
      </w:r>
    </w:p>
    <w:p w:rsidR="001462CC" w:rsidRPr="00C53E1D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Work Item:</w:t>
      </w:r>
      <w:r w:rsidRPr="00C53E1D">
        <w:rPr>
          <w:bCs/>
          <w:sz w:val="20"/>
          <w:szCs w:val="20"/>
        </w:rPr>
        <w:tab/>
      </w:r>
      <w:r w:rsidRPr="00C53E1D">
        <w:rPr>
          <w:bCs/>
          <w:sz w:val="20"/>
          <w:szCs w:val="20"/>
          <w:lang w:val="en-GB"/>
        </w:rPr>
        <w:t>NR_FeMIMO-Core</w:t>
      </w:r>
    </w:p>
    <w:p w:rsidR="001462CC" w:rsidRPr="00C53E1D" w:rsidRDefault="001462CC" w:rsidP="001462CC">
      <w:pPr>
        <w:spacing w:after="60"/>
        <w:ind w:left="1985" w:hanging="1985"/>
        <w:rPr>
          <w:b/>
          <w:sz w:val="20"/>
          <w:szCs w:val="20"/>
        </w:rPr>
      </w:pPr>
    </w:p>
    <w:p w:rsidR="001462CC" w:rsidRPr="00C53E1D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C53E1D">
        <w:rPr>
          <w:b/>
          <w:sz w:val="20"/>
          <w:szCs w:val="20"/>
        </w:rPr>
        <w:t>Source:</w:t>
      </w:r>
      <w:r w:rsidRPr="00C53E1D">
        <w:rPr>
          <w:bCs/>
          <w:sz w:val="20"/>
          <w:szCs w:val="20"/>
        </w:rPr>
        <w:tab/>
        <w:t>RAN1</w:t>
      </w:r>
    </w:p>
    <w:p w:rsidR="001462CC" w:rsidRPr="00C53E1D" w:rsidRDefault="001462CC" w:rsidP="001462CC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To:</w:t>
      </w:r>
      <w:r w:rsidRPr="00C53E1D">
        <w:rPr>
          <w:bCs/>
          <w:sz w:val="20"/>
          <w:szCs w:val="20"/>
        </w:rPr>
        <w:tab/>
      </w:r>
      <w:r w:rsidRPr="00C53E1D">
        <w:rPr>
          <w:rFonts w:eastAsia="SimSun"/>
          <w:bCs/>
          <w:sz w:val="20"/>
          <w:szCs w:val="20"/>
          <w:lang w:eastAsia="zh-CN"/>
        </w:rPr>
        <w:t>RAN2</w:t>
      </w:r>
    </w:p>
    <w:p w:rsidR="001462CC" w:rsidRPr="00C53E1D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C53E1D">
        <w:rPr>
          <w:b/>
          <w:sz w:val="20"/>
          <w:szCs w:val="20"/>
        </w:rPr>
        <w:t>Cc:</w:t>
      </w:r>
      <w:r w:rsidRPr="00C53E1D">
        <w:rPr>
          <w:bCs/>
          <w:sz w:val="20"/>
          <w:szCs w:val="20"/>
        </w:rPr>
        <w:tab/>
        <w:t>RAN3, RAN4, RAN</w:t>
      </w:r>
    </w:p>
    <w:p w:rsidR="001462CC" w:rsidRPr="00C53E1D" w:rsidRDefault="001462CC" w:rsidP="001462CC">
      <w:pPr>
        <w:spacing w:after="60"/>
        <w:ind w:left="1985" w:hanging="1985"/>
        <w:rPr>
          <w:bCs/>
          <w:sz w:val="20"/>
          <w:szCs w:val="20"/>
        </w:rPr>
      </w:pPr>
    </w:p>
    <w:p w:rsidR="001462CC" w:rsidRPr="00C53E1D" w:rsidRDefault="001462CC" w:rsidP="001462CC">
      <w:pPr>
        <w:tabs>
          <w:tab w:val="left" w:pos="2268"/>
        </w:tabs>
        <w:rPr>
          <w:bCs/>
          <w:sz w:val="20"/>
          <w:szCs w:val="20"/>
        </w:rPr>
      </w:pPr>
      <w:r w:rsidRPr="00C53E1D">
        <w:rPr>
          <w:b/>
          <w:sz w:val="20"/>
          <w:szCs w:val="20"/>
        </w:rPr>
        <w:t>Contact Person:</w:t>
      </w:r>
      <w:r w:rsidRPr="00C53E1D">
        <w:rPr>
          <w:bCs/>
          <w:sz w:val="20"/>
          <w:szCs w:val="20"/>
        </w:rPr>
        <w:tab/>
      </w:r>
    </w:p>
    <w:p w:rsidR="001462CC" w:rsidRPr="00C53E1D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C53E1D">
        <w:rPr>
          <w:b/>
          <w:sz w:val="20"/>
          <w:szCs w:val="20"/>
        </w:rPr>
        <w:t>Name:</w:t>
      </w:r>
      <w:r w:rsidRPr="00C53E1D">
        <w:rPr>
          <w:b/>
          <w:sz w:val="20"/>
          <w:szCs w:val="20"/>
        </w:rPr>
        <w:tab/>
      </w:r>
      <w:proofErr w:type="spellStart"/>
      <w:r w:rsidRPr="00C53E1D">
        <w:rPr>
          <w:sz w:val="20"/>
          <w:szCs w:val="20"/>
        </w:rPr>
        <w:t>Emad</w:t>
      </w:r>
      <w:proofErr w:type="spellEnd"/>
      <w:r w:rsidRPr="00C53E1D">
        <w:rPr>
          <w:sz w:val="20"/>
          <w:szCs w:val="20"/>
        </w:rPr>
        <w:t xml:space="preserve"> </w:t>
      </w:r>
      <w:proofErr w:type="spellStart"/>
      <w:r w:rsidRPr="00C53E1D">
        <w:rPr>
          <w:sz w:val="20"/>
          <w:szCs w:val="20"/>
        </w:rPr>
        <w:t>Farag</w:t>
      </w:r>
      <w:proofErr w:type="spellEnd"/>
    </w:p>
    <w:p w:rsidR="001462CC" w:rsidRPr="00C53E1D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C53E1D">
        <w:rPr>
          <w:b/>
          <w:sz w:val="20"/>
          <w:szCs w:val="20"/>
        </w:rPr>
        <w:t>E-mail Address:</w:t>
      </w:r>
      <w:r w:rsidRPr="00C53E1D">
        <w:rPr>
          <w:b/>
          <w:sz w:val="20"/>
          <w:szCs w:val="20"/>
        </w:rPr>
        <w:tab/>
      </w:r>
      <w:r w:rsidRPr="00C53E1D">
        <w:rPr>
          <w:sz w:val="20"/>
          <w:szCs w:val="20"/>
        </w:rPr>
        <w:t>e.farag@samsung.com</w:t>
      </w:r>
    </w:p>
    <w:p w:rsidR="00C53E1D" w:rsidRPr="00265DAD" w:rsidRDefault="00C53E1D" w:rsidP="00C53E1D"/>
    <w:p w:rsidR="00C53E1D" w:rsidRPr="00FA0873" w:rsidRDefault="00C53E1D" w:rsidP="00C53E1D">
      <w:pPr>
        <w:pStyle w:val="Heading1"/>
        <w:rPr>
          <w:sz w:val="24"/>
          <w:szCs w:val="20"/>
        </w:rPr>
      </w:pPr>
      <w:r>
        <w:rPr>
          <w:sz w:val="24"/>
          <w:szCs w:val="20"/>
        </w:rPr>
        <w:t>Overall description</w:t>
      </w:r>
    </w:p>
    <w:p w:rsidR="002233AF" w:rsidRDefault="002233AF" w:rsidP="002233AF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RAN2 for the reply LS on “</w:t>
      </w:r>
      <w:r w:rsidRPr="008D7BFC">
        <w:rPr>
          <w:iCs/>
          <w:color w:val="000000" w:themeColor="text1"/>
          <w:sz w:val="20"/>
          <w:szCs w:val="20"/>
        </w:rPr>
        <w:t>TCI State Update for L1/L2-Centric Inter-Cell Mobility</w:t>
      </w:r>
      <w:r>
        <w:rPr>
          <w:iCs/>
          <w:color w:val="000000" w:themeColor="text1"/>
          <w:sz w:val="20"/>
          <w:szCs w:val="20"/>
        </w:rPr>
        <w:t xml:space="preserve">”. In the reply LS, the following question </w:t>
      </w:r>
      <w:r w:rsidR="00F67013">
        <w:rPr>
          <w:iCs/>
          <w:color w:val="000000" w:themeColor="text1"/>
          <w:sz w:val="20"/>
          <w:szCs w:val="20"/>
        </w:rPr>
        <w:t>is</w:t>
      </w:r>
      <w:r>
        <w:rPr>
          <w:iCs/>
          <w:color w:val="000000" w:themeColor="text1"/>
          <w:sz w:val="20"/>
          <w:szCs w:val="20"/>
        </w:rPr>
        <w:t xml:space="preserve"> raised:</w:t>
      </w:r>
    </w:p>
    <w:p w:rsidR="00C53E1D" w:rsidRDefault="00C53E1D" w:rsidP="00C53E1D">
      <w:pPr>
        <w:rPr>
          <w:iCs/>
          <w:color w:val="0070C0"/>
          <w:sz w:val="20"/>
          <w:szCs w:val="20"/>
        </w:rPr>
      </w:pPr>
    </w:p>
    <w:p w:rsidR="002233AF" w:rsidRDefault="00540039" w:rsidP="00C53E1D">
      <w:pPr>
        <w:rPr>
          <w:iCs/>
          <w:color w:val="0070C0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A8F9F" wp14:editId="1F94BF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1016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0039" w:rsidRPr="00E3728D" w:rsidRDefault="00540039" w:rsidP="00E3728D">
                            <w:pPr>
                              <w:rPr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40039">
                              <w:rPr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>Question: Does RAN1 assume L1 measurements (i.e. measurements not using L3 filtering) are used for triggering L1/L2 centric inter-cell mobility for Scenario 1 and/or Scenario 2?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EA8F9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iTu9h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:rsidR="00540039" w:rsidRPr="00E3728D" w:rsidRDefault="00540039" w:rsidP="00E3728D">
                      <w:pPr>
                        <w:rPr>
                          <w:iCs/>
                          <w:color w:val="000000" w:themeColor="text1"/>
                          <w:sz w:val="20"/>
                          <w:szCs w:val="20"/>
                        </w:rPr>
                      </w:pPr>
                      <w:r w:rsidRPr="00540039">
                        <w:rPr>
                          <w:iCs/>
                          <w:color w:val="000000" w:themeColor="text1"/>
                          <w:sz w:val="20"/>
                          <w:szCs w:val="20"/>
                        </w:rPr>
                        <w:t>Question: Does RAN1 assume L1 measurements (i.e. measurements not using L3 filtering) are used for triggering L1/L2 centric inter-cell mobility for Scenario 1 and/or Scenario 2?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2523E" w:rsidRDefault="00F67013" w:rsidP="00A2523E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has discussed this question</w:t>
      </w:r>
      <w:r w:rsidR="00A2523E">
        <w:rPr>
          <w:iCs/>
          <w:color w:val="000000" w:themeColor="text1"/>
          <w:sz w:val="20"/>
          <w:szCs w:val="20"/>
        </w:rPr>
        <w:t xml:space="preserve"> and came to the following answer and conclusion:</w:t>
      </w:r>
    </w:p>
    <w:p w:rsidR="00A2523E" w:rsidRDefault="00A2523E" w:rsidP="00C53E1D">
      <w:pPr>
        <w:rPr>
          <w:iCs/>
          <w:color w:val="000000" w:themeColor="text1"/>
          <w:sz w:val="20"/>
          <w:szCs w:val="20"/>
        </w:rPr>
      </w:pPr>
    </w:p>
    <w:p w:rsidR="00540039" w:rsidRDefault="00540039" w:rsidP="00C53E1D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L1 measurement/reporting (i.e. with no L3 impact</w:t>
      </w:r>
      <w:r w:rsidRPr="00540039">
        <w:rPr>
          <w:iCs/>
          <w:color w:val="000000" w:themeColor="text1"/>
          <w:sz w:val="20"/>
          <w:szCs w:val="20"/>
        </w:rPr>
        <w:t>)</w:t>
      </w:r>
      <w:r>
        <w:rPr>
          <w:iCs/>
          <w:color w:val="000000" w:themeColor="text1"/>
          <w:sz w:val="20"/>
          <w:szCs w:val="20"/>
        </w:rPr>
        <w:t xml:space="preserve"> – as agreed in RAN#21 – is</w:t>
      </w:r>
      <w:r w:rsidRPr="00540039">
        <w:rPr>
          <w:iCs/>
          <w:color w:val="000000" w:themeColor="text1"/>
          <w:sz w:val="20"/>
          <w:szCs w:val="20"/>
        </w:rPr>
        <w:t xml:space="preserve"> used for </w:t>
      </w:r>
      <w:r>
        <w:rPr>
          <w:iCs/>
          <w:color w:val="000000" w:themeColor="text1"/>
          <w:sz w:val="20"/>
          <w:szCs w:val="20"/>
        </w:rPr>
        <w:t>inter-cell beam management.</w:t>
      </w:r>
    </w:p>
    <w:p w:rsidR="00540039" w:rsidRPr="00540039" w:rsidRDefault="00540039" w:rsidP="00C53E1D">
      <w:pPr>
        <w:rPr>
          <w:iCs/>
          <w:color w:val="000000" w:themeColor="text1"/>
          <w:sz w:val="20"/>
          <w:szCs w:val="20"/>
        </w:rPr>
      </w:pPr>
      <w:r w:rsidRPr="00540039">
        <w:rPr>
          <w:iCs/>
          <w:color w:val="000000" w:themeColor="text1"/>
          <w:sz w:val="20"/>
          <w:szCs w:val="20"/>
        </w:rPr>
        <w:t xml:space="preserve">Please note that it has been decided in RAN Plenary#93, there will be </w:t>
      </w:r>
      <w:r w:rsidR="00C373C6">
        <w:rPr>
          <w:iCs/>
          <w:color w:val="000000" w:themeColor="text1"/>
          <w:sz w:val="20"/>
          <w:szCs w:val="20"/>
        </w:rPr>
        <w:t>no</w:t>
      </w:r>
      <w:r w:rsidRPr="00540039">
        <w:rPr>
          <w:iCs/>
          <w:color w:val="000000" w:themeColor="text1"/>
          <w:sz w:val="20"/>
          <w:szCs w:val="20"/>
        </w:rPr>
        <w:t xml:space="preserve"> serving cell change within the scope of Rel-17 for this feature. i.e. only scenario 1 would be supported in Rel-17. </w:t>
      </w:r>
      <w:r w:rsidR="003E1E6C">
        <w:rPr>
          <w:iCs/>
          <w:color w:val="000000" w:themeColor="text1"/>
          <w:sz w:val="20"/>
          <w:szCs w:val="20"/>
        </w:rPr>
        <w:t>In fact, in RAN#92</w:t>
      </w:r>
      <w:r w:rsidR="00C373C6">
        <w:rPr>
          <w:iCs/>
          <w:color w:val="000000" w:themeColor="text1"/>
          <w:sz w:val="20"/>
          <w:szCs w:val="20"/>
        </w:rPr>
        <w:t>-e</w:t>
      </w:r>
      <w:r w:rsidRPr="00540039">
        <w:rPr>
          <w:iCs/>
          <w:color w:val="000000" w:themeColor="text1"/>
          <w:sz w:val="20"/>
          <w:szCs w:val="20"/>
        </w:rPr>
        <w:t>, the WID</w:t>
      </w:r>
      <w:r w:rsidR="003E1E6C">
        <w:rPr>
          <w:iCs/>
          <w:color w:val="000000" w:themeColor="text1"/>
          <w:sz w:val="20"/>
          <w:szCs w:val="20"/>
        </w:rPr>
        <w:t xml:space="preserve"> [RP-211586]</w:t>
      </w:r>
      <w:r w:rsidRPr="00540039">
        <w:rPr>
          <w:iCs/>
          <w:color w:val="000000" w:themeColor="text1"/>
          <w:sz w:val="20"/>
          <w:szCs w:val="20"/>
        </w:rPr>
        <w:t xml:space="preserve"> has been revised and the term "inter-cell beam management" (instead of inter-cell mobility) is used to avoid any misunderstanding that the work involves hand-over (change in serving cell)</w:t>
      </w:r>
      <w:r w:rsidR="00C373C6">
        <w:rPr>
          <w:iCs/>
          <w:color w:val="000000" w:themeColor="text1"/>
          <w:sz w:val="20"/>
          <w:szCs w:val="20"/>
        </w:rPr>
        <w:t>.</w:t>
      </w:r>
      <w:bookmarkStart w:id="0" w:name="_GoBack"/>
      <w:bookmarkEnd w:id="0"/>
    </w:p>
    <w:p w:rsidR="00540039" w:rsidRPr="00FA0873" w:rsidRDefault="00540039" w:rsidP="00C53E1D">
      <w:pPr>
        <w:rPr>
          <w:iCs/>
          <w:color w:val="0070C0"/>
          <w:sz w:val="20"/>
          <w:szCs w:val="20"/>
        </w:rPr>
      </w:pPr>
    </w:p>
    <w:p w:rsidR="00C53E1D" w:rsidRPr="00FA0873" w:rsidRDefault="00C53E1D" w:rsidP="00C53E1D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>Actions</w:t>
      </w:r>
    </w:p>
    <w:p w:rsidR="00C53E1D" w:rsidRPr="00FA0873" w:rsidRDefault="00C53E1D" w:rsidP="00C53E1D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>To: RAN</w:t>
      </w:r>
      <w:r>
        <w:rPr>
          <w:sz w:val="20"/>
          <w:szCs w:val="20"/>
        </w:rPr>
        <w:t>2, RAN3 and RAN4</w:t>
      </w:r>
    </w:p>
    <w:p w:rsidR="00C53E1D" w:rsidRPr="00FA0873" w:rsidRDefault="00C53E1D" w:rsidP="00C53E1D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</w:t>
      </w:r>
      <w:r>
        <w:rPr>
          <w:sz w:val="20"/>
          <w:szCs w:val="20"/>
        </w:rPr>
        <w:t>RAN2</w:t>
      </w:r>
      <w:r w:rsidRPr="00FA0873">
        <w:rPr>
          <w:sz w:val="20"/>
          <w:szCs w:val="20"/>
        </w:rPr>
        <w:t>, RAN</w:t>
      </w:r>
      <w:r>
        <w:rPr>
          <w:sz w:val="20"/>
          <w:szCs w:val="20"/>
        </w:rPr>
        <w:t>3</w:t>
      </w:r>
      <w:r w:rsidRPr="00FA0873">
        <w:rPr>
          <w:sz w:val="20"/>
          <w:szCs w:val="20"/>
        </w:rPr>
        <w:t xml:space="preserve"> and RAN4 to take the above into consideration</w:t>
      </w:r>
      <w:r>
        <w:rPr>
          <w:sz w:val="20"/>
          <w:szCs w:val="20"/>
        </w:rPr>
        <w:t>.</w:t>
      </w:r>
    </w:p>
    <w:p w:rsidR="00C53E1D" w:rsidRPr="00FA0873" w:rsidRDefault="00C53E1D" w:rsidP="00C53E1D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 xml:space="preserve">Dates of next </w:t>
      </w:r>
      <w:r w:rsidRPr="00FA0873">
        <w:rPr>
          <w:bCs/>
          <w:sz w:val="24"/>
          <w:szCs w:val="20"/>
        </w:rPr>
        <w:t xml:space="preserve">TSG </w:t>
      </w:r>
      <w:r>
        <w:rPr>
          <w:sz w:val="24"/>
          <w:szCs w:val="20"/>
        </w:rPr>
        <w:t>WG1</w:t>
      </w:r>
      <w:r w:rsidRPr="00FA0873">
        <w:rPr>
          <w:sz w:val="24"/>
          <w:szCs w:val="20"/>
        </w:rPr>
        <w:t xml:space="preserve"> meetings</w:t>
      </w:r>
    </w:p>
    <w:p w:rsidR="00C53E1D" w:rsidRPr="00FA0873" w:rsidRDefault="00C53E1D" w:rsidP="00C53E1D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106bis-e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October 11th –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C53E1D" w:rsidRPr="00FA0873" w:rsidRDefault="00C53E1D" w:rsidP="00C53E1D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107-e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Novermber 11th – November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C53E1D" w:rsidRPr="00FA0873" w:rsidRDefault="00C53E1D" w:rsidP="00C53E1D">
      <w:pPr>
        <w:rPr>
          <w:sz w:val="20"/>
          <w:szCs w:val="20"/>
        </w:rPr>
      </w:pPr>
    </w:p>
    <w:p w:rsidR="00AB141F" w:rsidRPr="00C53E1D" w:rsidRDefault="00AB141F">
      <w:pPr>
        <w:rPr>
          <w:sz w:val="20"/>
          <w:szCs w:val="20"/>
        </w:rPr>
      </w:pPr>
    </w:p>
    <w:sectPr w:rsidR="00AB141F" w:rsidRPr="00C53E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4"/>
    <w:rsid w:val="001462CC"/>
    <w:rsid w:val="002233AF"/>
    <w:rsid w:val="00305394"/>
    <w:rsid w:val="003172DA"/>
    <w:rsid w:val="003E1E6C"/>
    <w:rsid w:val="00505F84"/>
    <w:rsid w:val="00540039"/>
    <w:rsid w:val="00674044"/>
    <w:rsid w:val="00A2523E"/>
    <w:rsid w:val="00AB141F"/>
    <w:rsid w:val="00BF5C15"/>
    <w:rsid w:val="00C373C6"/>
    <w:rsid w:val="00C53E1D"/>
    <w:rsid w:val="00C8116A"/>
    <w:rsid w:val="00F06915"/>
    <w:rsid w:val="00F6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93D63"/>
  <w15:chartTrackingRefBased/>
  <w15:docId w15:val="{FD718381-00AD-4D80-A399-ADD6E51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C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146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46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46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46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46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46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46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46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6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462CC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1462CC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1462CC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62CC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462CC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1462C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462CC"/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C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C15"/>
    <w:rPr>
      <w:rFonts w:ascii="Segoe UI" w:eastAsia="Malgun Gothic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13</cp:revision>
  <dcterms:created xsi:type="dcterms:W3CDTF">2021-07-28T17:28:00Z</dcterms:created>
  <dcterms:modified xsi:type="dcterms:W3CDTF">2021-08-05T20:06:00Z</dcterms:modified>
</cp:coreProperties>
</file>